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459"/>
        <w:gridCol w:w="748"/>
        <w:gridCol w:w="899"/>
        <w:gridCol w:w="819"/>
        <w:gridCol w:w="1160"/>
        <w:gridCol w:w="1440"/>
        <w:gridCol w:w="1440"/>
        <w:gridCol w:w="637"/>
        <w:gridCol w:w="631"/>
        <w:gridCol w:w="1163"/>
        <w:gridCol w:w="1351"/>
        <w:gridCol w:w="1080"/>
        <w:gridCol w:w="1170"/>
        <w:gridCol w:w="1083"/>
      </w:tblGrid>
      <w:tr w:rsidR="00BF7175" w:rsidTr="00866F8F">
        <w:tc>
          <w:tcPr>
            <w:tcW w:w="5000" w:type="pct"/>
            <w:gridSpan w:val="15"/>
          </w:tcPr>
          <w:p w:rsidR="00BF7175" w:rsidRPr="00BF7175" w:rsidRDefault="00BF7175" w:rsidP="00BF717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proofErr w:type="spellStart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>Administratorul</w:t>
            </w:r>
            <w:proofErr w:type="spellEnd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>Ministerul</w:t>
            </w:r>
            <w:proofErr w:type="spellEnd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ănătații prin </w:t>
            </w:r>
            <w:proofErr w:type="spellStart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>Institutul</w:t>
            </w:r>
            <w:proofErr w:type="spellEnd"/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de </w:t>
            </w:r>
            <w:proofErr w:type="spellStart"/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>Medicin</w:t>
            </w:r>
            <w:r w:rsidR="00024AD4">
              <w:rPr>
                <w:rFonts w:ascii="Times New Roman" w:hAnsi="Times New Roman" w:cs="Times New Roman"/>
                <w:b/>
                <w:sz w:val="24"/>
                <w:lang w:val="fr-FR"/>
              </w:rPr>
              <w:t>ă</w:t>
            </w:r>
            <w:proofErr w:type="spellEnd"/>
            <w:r w:rsidR="00024AD4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proofErr w:type="spellStart"/>
            <w:r w:rsidR="00024AD4">
              <w:rPr>
                <w:rFonts w:ascii="Times New Roman" w:hAnsi="Times New Roman" w:cs="Times New Roman"/>
                <w:b/>
                <w:sz w:val="24"/>
                <w:lang w:val="fr-FR"/>
              </w:rPr>
              <w:t>Legală</w:t>
            </w:r>
            <w:proofErr w:type="spellEnd"/>
            <w:r w:rsidR="00024AD4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proofErr w:type="spellStart"/>
            <w:r w:rsidR="00024AD4">
              <w:rPr>
                <w:rFonts w:ascii="Times New Roman" w:hAnsi="Times New Roman" w:cs="Times New Roman"/>
                <w:b/>
                <w:sz w:val="24"/>
                <w:lang w:val="fr-FR"/>
              </w:rPr>
              <w:t>T</w:t>
            </w:r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>ârgu</w:t>
            </w:r>
            <w:proofErr w:type="spellEnd"/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proofErr w:type="spellStart"/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>Mureș</w:t>
            </w:r>
            <w:proofErr w:type="spellEnd"/>
            <w:r w:rsidR="00024AD4" w:rsidRPr="00024AD4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/ </w:t>
            </w:r>
            <w:r w:rsidRPr="00D834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CUI: </w:t>
            </w:r>
            <w:r w:rsidR="00D8346F" w:rsidRPr="00D834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13700979</w:t>
            </w:r>
          </w:p>
          <w:p w:rsidR="00BF7175" w:rsidRPr="002A0211" w:rsidRDefault="00BF71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66F8F" w:rsidTr="00866F8F">
        <w:tc>
          <w:tcPr>
            <w:tcW w:w="425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Tipul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operaţiunii</w:t>
            </w:r>
            <w:proofErr w:type="spellEnd"/>
          </w:p>
        </w:tc>
        <w:tc>
          <w:tcPr>
            <w:tcW w:w="149" w:type="pct"/>
            <w:vMerge w:val="restart"/>
          </w:tcPr>
          <w:p w:rsidR="002A0211" w:rsidRPr="002A021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</w:t>
            </w:r>
            <w:proofErr w:type="spellEnd"/>
          </w:p>
          <w:p w:rsidR="002A0211" w:rsidRPr="002A021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MF)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Codul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clasificaţie</w:t>
            </w:r>
            <w:proofErr w:type="spellEnd"/>
          </w:p>
        </w:tc>
        <w:tc>
          <w:tcPr>
            <w:tcW w:w="266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 bun (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mobil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imobil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77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Denumirea</w:t>
            </w:r>
            <w:proofErr w:type="spellEnd"/>
          </w:p>
        </w:tc>
        <w:tc>
          <w:tcPr>
            <w:tcW w:w="468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Elementele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cadru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descriere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tehnică</w:t>
            </w:r>
            <w:proofErr w:type="spellEnd"/>
          </w:p>
        </w:tc>
        <w:tc>
          <w:tcPr>
            <w:tcW w:w="468" w:type="pct"/>
            <w:vMerge w:val="restart"/>
          </w:tcPr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Adresa</w:t>
            </w:r>
            <w:proofErr w:type="spellEnd"/>
          </w:p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ţara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judeţ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localitate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artera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număr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sector,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denumire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perimetru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concesionat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alte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 date de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localizare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după</w:t>
            </w:r>
            <w:proofErr w:type="spellEnd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caz</w:t>
            </w:r>
            <w:proofErr w:type="spellEnd"/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Vecinătăţi</w:t>
            </w:r>
            <w:proofErr w:type="spellEnd"/>
          </w:p>
        </w:tc>
        <w:tc>
          <w:tcPr>
            <w:tcW w:w="205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Anul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dobândirii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dării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în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folosinţă</w:t>
            </w:r>
            <w:proofErr w:type="spellEnd"/>
          </w:p>
        </w:tc>
        <w:tc>
          <w:tcPr>
            <w:tcW w:w="378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Valoarea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inventar</w:t>
            </w:r>
            <w:proofErr w:type="spellEnd"/>
          </w:p>
        </w:tc>
        <w:tc>
          <w:tcPr>
            <w:tcW w:w="439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Data la care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bunul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este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înregistrat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cu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valoarea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inventar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din col. 9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în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evidenţa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financiar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contabilă</w:t>
            </w:r>
            <w:proofErr w:type="spellEnd"/>
          </w:p>
        </w:tc>
        <w:tc>
          <w:tcPr>
            <w:tcW w:w="351" w:type="pct"/>
            <w:vMerge w:val="restart"/>
          </w:tcPr>
          <w:p w:rsidR="002A0211" w:rsidRPr="002A0211" w:rsidRDefault="002A0211" w:rsidP="00D4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Titularul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dreptului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administrare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ordonatorul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principal de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credite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denumire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cod fiscal)</w:t>
            </w:r>
          </w:p>
        </w:tc>
        <w:tc>
          <w:tcPr>
            <w:tcW w:w="732" w:type="pct"/>
            <w:gridSpan w:val="2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Situaţia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juridică</w:t>
            </w:r>
            <w:proofErr w:type="spellEnd"/>
          </w:p>
        </w:tc>
      </w:tr>
      <w:tr w:rsidR="00866F8F" w:rsidTr="00866F8F">
        <w:tc>
          <w:tcPr>
            <w:tcW w:w="425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Baza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legală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2" w:type="pc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Administrare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concesiune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folosinţă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gratuită</w:t>
            </w:r>
            <w:proofErr w:type="spellEnd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închiriere</w:t>
            </w:r>
            <w:proofErr w:type="spellEnd"/>
          </w:p>
        </w:tc>
      </w:tr>
      <w:tr w:rsidR="00866F8F" w:rsidTr="00866F8F">
        <w:tc>
          <w:tcPr>
            <w:tcW w:w="425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66F8F" w:rsidTr="00866F8F">
        <w:tc>
          <w:tcPr>
            <w:tcW w:w="425" w:type="pct"/>
          </w:tcPr>
          <w:p w:rsidR="002A0211" w:rsidRPr="002A0211" w:rsidRDefault="0068209B" w:rsidP="0068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09B">
              <w:rPr>
                <w:rFonts w:ascii="Times New Roman" w:hAnsi="Times New Roman" w:cs="Times New Roman"/>
                <w:sz w:val="20"/>
                <w:szCs w:val="20"/>
              </w:rPr>
              <w:t>Înscrierea</w:t>
            </w:r>
            <w:proofErr w:type="spellEnd"/>
            <w:r w:rsidRPr="00682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09B">
              <w:rPr>
                <w:rFonts w:ascii="Times New Roman" w:hAnsi="Times New Roman" w:cs="Times New Roman"/>
                <w:sz w:val="20"/>
                <w:szCs w:val="20"/>
              </w:rPr>
              <w:t xml:space="preserve">bun </w:t>
            </w:r>
            <w:proofErr w:type="spellStart"/>
            <w:r w:rsidRPr="0068209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682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9B">
              <w:rPr>
                <w:rFonts w:ascii="Times New Roman" w:hAnsi="Times New Roman" w:cs="Times New Roman"/>
                <w:sz w:val="20"/>
                <w:szCs w:val="20"/>
              </w:rPr>
              <w:t>inventar</w:t>
            </w:r>
            <w:proofErr w:type="spellEnd"/>
          </w:p>
        </w:tc>
        <w:tc>
          <w:tcPr>
            <w:tcW w:w="149" w:type="pct"/>
          </w:tcPr>
          <w:p w:rsidR="002A0211" w:rsidRPr="002A0211" w:rsidRDefault="00C1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:rsidR="002A0211" w:rsidRPr="002A0211" w:rsidRDefault="0002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AD4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="0068209B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="00682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09B">
              <w:rPr>
                <w:rFonts w:ascii="Times New Roman" w:hAnsi="Times New Roman" w:cs="Times New Roman"/>
                <w:sz w:val="20"/>
                <w:szCs w:val="20"/>
              </w:rPr>
              <w:t>atribui</w:t>
            </w:r>
            <w:proofErr w:type="spellEnd"/>
            <w:r w:rsidR="0068209B">
              <w:rPr>
                <w:rFonts w:ascii="Times New Roman" w:hAnsi="Times New Roman" w:cs="Times New Roman"/>
                <w:sz w:val="20"/>
                <w:szCs w:val="20"/>
              </w:rPr>
              <w:t xml:space="preserve"> ulterior</w:t>
            </w:r>
            <w:r w:rsidRPr="00024AD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4AD4">
              <w:rPr>
                <w:rFonts w:ascii="Times New Roman" w:hAnsi="Times New Roman" w:cs="Times New Roman"/>
                <w:sz w:val="20"/>
                <w:szCs w:val="20"/>
              </w:rPr>
              <w:t>către</w:t>
            </w:r>
            <w:proofErr w:type="spellEnd"/>
            <w:r w:rsidRPr="00024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D4">
              <w:rPr>
                <w:rFonts w:ascii="Times New Roman" w:hAnsi="Times New Roman" w:cs="Times New Roman"/>
                <w:sz w:val="20"/>
                <w:szCs w:val="20"/>
              </w:rPr>
              <w:t>Ministerul</w:t>
            </w:r>
            <w:proofErr w:type="spellEnd"/>
            <w:r w:rsidRPr="00024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D4">
              <w:rPr>
                <w:rFonts w:ascii="Times New Roman" w:hAnsi="Times New Roman" w:cs="Times New Roman"/>
                <w:sz w:val="20"/>
                <w:szCs w:val="20"/>
              </w:rPr>
              <w:t>Finanțelor</w:t>
            </w:r>
            <w:proofErr w:type="spellEnd"/>
          </w:p>
        </w:tc>
        <w:tc>
          <w:tcPr>
            <w:tcW w:w="292" w:type="pct"/>
          </w:tcPr>
          <w:p w:rsidR="002A0211" w:rsidRPr="002A0211" w:rsidRDefault="00D46AD5" w:rsidP="0002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024AD4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266" w:type="pct"/>
          </w:tcPr>
          <w:p w:rsidR="002A0211" w:rsidRPr="002A0211" w:rsidRDefault="0002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spellEnd"/>
          </w:p>
        </w:tc>
        <w:tc>
          <w:tcPr>
            <w:tcW w:w="377" w:type="pct"/>
          </w:tcPr>
          <w:p w:rsidR="00D46AD5" w:rsidRPr="007B7E83" w:rsidRDefault="00024AD4" w:rsidP="00D4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Imobil teren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024AD4" w:rsidRPr="007B7E83" w:rsidRDefault="00024AD4" w:rsidP="000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S=1.000 mp,</w:t>
            </w:r>
          </w:p>
          <w:p w:rsidR="002A0211" w:rsidRPr="002A0211" w:rsidRDefault="00024AD4" w:rsidP="0002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CF nr. 145668</w:t>
            </w:r>
          </w:p>
        </w:tc>
        <w:tc>
          <w:tcPr>
            <w:tcW w:w="468" w:type="pct"/>
          </w:tcPr>
          <w:p w:rsidR="00C17D2B" w:rsidRPr="007B7E83" w:rsidRDefault="00C17D2B" w:rsidP="00C1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Jud. </w:t>
            </w:r>
            <w:r w:rsidR="0068209B" w:rsidRPr="007B7E83">
              <w:rPr>
                <w:rFonts w:ascii="Times New Roman" w:hAnsi="Times New Roman" w:cs="Times New Roman"/>
                <w:sz w:val="20"/>
                <w:szCs w:val="20"/>
              </w:rPr>
              <w:t>Mureș</w:t>
            </w: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, Str. </w:t>
            </w:r>
            <w:r w:rsidR="0068209B"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Gheorghe </w:t>
            </w:r>
            <w:proofErr w:type="spellStart"/>
            <w:r w:rsidR="0068209B" w:rsidRPr="007B7E83">
              <w:rPr>
                <w:rFonts w:ascii="Times New Roman" w:hAnsi="Times New Roman" w:cs="Times New Roman"/>
                <w:sz w:val="20"/>
                <w:szCs w:val="20"/>
              </w:rPr>
              <w:t>Marinescu</w:t>
            </w:r>
            <w:proofErr w:type="spellEnd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 Loc. </w:t>
            </w:r>
            <w:proofErr w:type="spellStart"/>
            <w:r w:rsidR="0068209B" w:rsidRPr="007B7E83">
              <w:rPr>
                <w:rFonts w:ascii="Times New Roman" w:hAnsi="Times New Roman" w:cs="Times New Roman"/>
                <w:sz w:val="20"/>
                <w:szCs w:val="20"/>
              </w:rPr>
              <w:t>Târgu</w:t>
            </w:r>
            <w:proofErr w:type="spellEnd"/>
            <w:r w:rsidR="0068209B"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 Mureș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2A0211" w:rsidRPr="00600A2E" w:rsidRDefault="00600A2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Spitalul </w:t>
            </w:r>
            <w:r w:rsidR="00D834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Clinic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Județean de U</w:t>
            </w:r>
            <w:r w:rsidR="00D834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rgență , Drum</w:t>
            </w:r>
          </w:p>
        </w:tc>
        <w:tc>
          <w:tcPr>
            <w:tcW w:w="205" w:type="pct"/>
          </w:tcPr>
          <w:p w:rsidR="002A0211" w:rsidRPr="002A0211" w:rsidRDefault="00600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78" w:type="pct"/>
          </w:tcPr>
          <w:p w:rsidR="00024AD4" w:rsidRPr="007B7E83" w:rsidRDefault="00024AD4" w:rsidP="000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336.427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2A0211" w:rsidRPr="00F01ABB" w:rsidRDefault="00232CD1" w:rsidP="00232C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C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77EE5" w:rsidRPr="00232CD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32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EE5" w:rsidRPr="00232CD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232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:rsidR="00C17D2B" w:rsidRPr="007B7E83" w:rsidRDefault="00024AD4" w:rsidP="00C1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Institutul de Medicină Legală Târgu Mureș </w:t>
            </w:r>
            <w:r w:rsidR="00C17D2B"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/ CUI: </w:t>
            </w:r>
            <w:r w:rsidR="0056453A">
              <w:rPr>
                <w:rFonts w:ascii="Times New Roman" w:hAnsi="Times New Roman" w:cs="Times New Roman"/>
                <w:sz w:val="20"/>
                <w:szCs w:val="20"/>
              </w:rPr>
              <w:t>13700979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A0211" w:rsidRPr="002A0211" w:rsidRDefault="00024AD4" w:rsidP="00FB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Hotărârea</w:t>
            </w:r>
            <w:proofErr w:type="spellEnd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Consiliului</w:t>
            </w:r>
            <w:proofErr w:type="spellEnd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2EB">
              <w:rPr>
                <w:rFonts w:ascii="Times New Roman" w:hAnsi="Times New Roman" w:cs="Times New Roman"/>
                <w:sz w:val="20"/>
                <w:szCs w:val="20"/>
              </w:rPr>
              <w:t>Jude</w:t>
            </w:r>
            <w:r w:rsidR="00FB32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țean Mureș</w:t>
            </w:r>
            <w:r w:rsidRPr="007B7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7B7E83">
              <w:rPr>
                <w:rFonts w:ascii="Times New Roman" w:hAnsi="Times New Roman" w:cs="Times New Roman"/>
                <w:sz w:val="20"/>
                <w:szCs w:val="20"/>
              </w:rPr>
              <w:t>. 172/15 octombrie 2024</w:t>
            </w:r>
          </w:p>
        </w:tc>
        <w:tc>
          <w:tcPr>
            <w:tcW w:w="352" w:type="pct"/>
          </w:tcPr>
          <w:p w:rsidR="002A0211" w:rsidRPr="002A0211" w:rsidRDefault="00C1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Administrare</w:t>
            </w:r>
            <w:proofErr w:type="spellEnd"/>
          </w:p>
        </w:tc>
      </w:tr>
    </w:tbl>
    <w:p w:rsidR="00DA0D42" w:rsidRDefault="00DA0D42">
      <w:pPr>
        <w:rPr>
          <w:rFonts w:ascii="Times New Roman" w:hAnsi="Times New Roman" w:cs="Times New Roman"/>
          <w:sz w:val="24"/>
          <w:szCs w:val="24"/>
        </w:rPr>
      </w:pPr>
    </w:p>
    <w:p w:rsidR="00866F8F" w:rsidRPr="00036ED3" w:rsidRDefault="00866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Total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46F">
        <w:rPr>
          <w:rFonts w:ascii="Times New Roman" w:hAnsi="Times New Roman" w:cs="Times New Roman"/>
          <w:sz w:val="24"/>
          <w:szCs w:val="24"/>
        </w:rPr>
        <w:t>336.427</w:t>
      </w:r>
    </w:p>
    <w:sectPr w:rsidR="00866F8F" w:rsidRPr="00036ED3" w:rsidSect="00BF7175">
      <w:headerReference w:type="default" r:id="rId6"/>
      <w:pgSz w:w="16839" w:h="11907" w:orient="landscape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F1" w:rsidRDefault="008252F1" w:rsidP="00C17D2B">
      <w:pPr>
        <w:spacing w:after="0" w:line="240" w:lineRule="auto"/>
      </w:pPr>
      <w:r>
        <w:separator/>
      </w:r>
    </w:p>
  </w:endnote>
  <w:endnote w:type="continuationSeparator" w:id="0">
    <w:p w:rsidR="008252F1" w:rsidRDefault="008252F1" w:rsidP="00C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F1" w:rsidRDefault="008252F1" w:rsidP="00C17D2B">
      <w:pPr>
        <w:spacing w:after="0" w:line="240" w:lineRule="auto"/>
      </w:pPr>
      <w:r>
        <w:separator/>
      </w:r>
    </w:p>
  </w:footnote>
  <w:footnote w:type="continuationSeparator" w:id="0">
    <w:p w:rsidR="008252F1" w:rsidRDefault="008252F1" w:rsidP="00C1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2B" w:rsidRDefault="00C17D2B" w:rsidP="00C17D2B">
    <w:pPr>
      <w:autoSpaceDE w:val="0"/>
      <w:autoSpaceDN w:val="0"/>
      <w:adjustRightInd w:val="0"/>
      <w:spacing w:line="240" w:lineRule="auto"/>
      <w:jc w:val="right"/>
      <w:rPr>
        <w:sz w:val="24"/>
        <w:lang w:val="fr-FR"/>
      </w:rPr>
    </w:pPr>
    <w:proofErr w:type="spellStart"/>
    <w:r>
      <w:rPr>
        <w:sz w:val="24"/>
        <w:lang w:val="fr-FR"/>
      </w:rPr>
      <w:t>Anexa</w:t>
    </w:r>
    <w:proofErr w:type="spellEnd"/>
  </w:p>
  <w:p w:rsidR="00024AD4" w:rsidRPr="00024AD4" w:rsidRDefault="00C17D2B" w:rsidP="00024AD4">
    <w:pPr>
      <w:jc w:val="center"/>
      <w:rPr>
        <w:rFonts w:ascii="Times New Roman" w:hAnsi="Times New Roman" w:cs="Times New Roman"/>
        <w:b/>
        <w:sz w:val="24"/>
        <w:lang w:val="fr-FR"/>
      </w:rPr>
    </w:pPr>
    <w:proofErr w:type="spellStart"/>
    <w:r w:rsidRPr="00C17D2B">
      <w:rPr>
        <w:rFonts w:ascii="Times New Roman" w:hAnsi="Times New Roman" w:cs="Times New Roman"/>
        <w:b/>
        <w:sz w:val="24"/>
        <w:lang w:val="fr-FR"/>
      </w:rPr>
      <w:t>Datele</w:t>
    </w:r>
    <w:proofErr w:type="spellEnd"/>
    <w:r w:rsidRPr="00C17D2B">
      <w:rPr>
        <w:rFonts w:ascii="Times New Roman" w:hAnsi="Times New Roman" w:cs="Times New Roman"/>
        <w:b/>
        <w:sz w:val="24"/>
        <w:lang w:val="fr-FR"/>
      </w:rPr>
      <w:t xml:space="preserve"> de </w:t>
    </w:r>
    <w:proofErr w:type="spellStart"/>
    <w:r w:rsidRPr="00C17D2B">
      <w:rPr>
        <w:rFonts w:ascii="Times New Roman" w:hAnsi="Times New Roman" w:cs="Times New Roman"/>
        <w:b/>
        <w:sz w:val="24"/>
        <w:lang w:val="fr-FR"/>
      </w:rPr>
      <w:t>identificare</w:t>
    </w:r>
    <w:proofErr w:type="spellEnd"/>
    <w:r w:rsidRPr="00C17D2B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Pr="00C17D2B">
      <w:rPr>
        <w:rFonts w:ascii="Times New Roman" w:hAnsi="Times New Roman" w:cs="Times New Roman"/>
        <w:b/>
        <w:sz w:val="24"/>
        <w:lang w:val="fr-FR"/>
      </w:rPr>
      <w:t>ale</w:t>
    </w:r>
    <w:proofErr w:type="spellEnd"/>
    <w:r w:rsidRPr="00C17D2B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Pr="00C17D2B">
      <w:rPr>
        <w:rFonts w:ascii="Times New Roman" w:hAnsi="Times New Roman" w:cs="Times New Roman"/>
        <w:b/>
        <w:sz w:val="24"/>
        <w:lang w:val="fr-FR"/>
      </w:rPr>
      <w:t>bunului</w:t>
    </w:r>
    <w:proofErr w:type="spellEnd"/>
    <w:r w:rsidRPr="00C17D2B">
      <w:rPr>
        <w:rFonts w:ascii="Times New Roman" w:hAnsi="Times New Roman" w:cs="Times New Roman"/>
        <w:b/>
        <w:sz w:val="24"/>
        <w:lang w:val="fr-FR"/>
      </w:rPr>
      <w:t xml:space="preserve"> </w:t>
    </w:r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care se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înscrie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în inventarul centralizat al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bunurilor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din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domeniul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public al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statului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şi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se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dă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în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administrarea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Institutului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de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Medicin</w:t>
    </w:r>
    <w:r w:rsidR="00024AD4">
      <w:rPr>
        <w:rFonts w:ascii="Times New Roman" w:hAnsi="Times New Roman" w:cs="Times New Roman"/>
        <w:b/>
        <w:sz w:val="24"/>
        <w:lang w:val="fr-FR"/>
      </w:rPr>
      <w:t>ă</w:t>
    </w:r>
    <w:proofErr w:type="spellEnd"/>
    <w:r w:rsid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>
      <w:rPr>
        <w:rFonts w:ascii="Times New Roman" w:hAnsi="Times New Roman" w:cs="Times New Roman"/>
        <w:b/>
        <w:sz w:val="24"/>
        <w:lang w:val="fr-FR"/>
      </w:rPr>
      <w:t>Legală</w:t>
    </w:r>
    <w:proofErr w:type="spellEnd"/>
    <w:r w:rsid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>
      <w:rPr>
        <w:rFonts w:ascii="Times New Roman" w:hAnsi="Times New Roman" w:cs="Times New Roman"/>
        <w:b/>
        <w:sz w:val="24"/>
        <w:lang w:val="fr-FR"/>
      </w:rPr>
      <w:t>T</w:t>
    </w:r>
    <w:r w:rsidR="00024AD4" w:rsidRPr="00024AD4">
      <w:rPr>
        <w:rFonts w:ascii="Times New Roman" w:hAnsi="Times New Roman" w:cs="Times New Roman"/>
        <w:b/>
        <w:sz w:val="24"/>
        <w:lang w:val="fr-FR"/>
      </w:rPr>
      <w:t>ârgu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Mureș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din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subordinea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Ministerului</w:t>
    </w:r>
    <w:proofErr w:type="spellEnd"/>
    <w:r w:rsidR="00024AD4" w:rsidRPr="00024AD4">
      <w:rPr>
        <w:rFonts w:ascii="Times New Roman" w:hAnsi="Times New Roman" w:cs="Times New Roman"/>
        <w:b/>
        <w:sz w:val="24"/>
        <w:lang w:val="fr-FR"/>
      </w:rPr>
      <w:t xml:space="preserve"> </w:t>
    </w:r>
    <w:proofErr w:type="spellStart"/>
    <w:r w:rsidR="00024AD4" w:rsidRPr="00024AD4">
      <w:rPr>
        <w:rFonts w:ascii="Times New Roman" w:hAnsi="Times New Roman" w:cs="Times New Roman"/>
        <w:b/>
        <w:sz w:val="24"/>
        <w:lang w:val="fr-FR"/>
      </w:rPr>
      <w:t>Sănătății</w:t>
    </w:r>
    <w:proofErr w:type="spellEnd"/>
  </w:p>
  <w:p w:rsidR="00C17D2B" w:rsidRDefault="00C17D2B">
    <w:pPr>
      <w:pStyle w:val="Header"/>
    </w:pPr>
  </w:p>
  <w:p w:rsidR="00C17D2B" w:rsidRDefault="00C17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24AD4"/>
    <w:rsid w:val="00036ED3"/>
    <w:rsid w:val="00133C85"/>
    <w:rsid w:val="00232CD1"/>
    <w:rsid w:val="002A0211"/>
    <w:rsid w:val="002F6381"/>
    <w:rsid w:val="003F020B"/>
    <w:rsid w:val="00474237"/>
    <w:rsid w:val="0056453A"/>
    <w:rsid w:val="0058699B"/>
    <w:rsid w:val="00600A2E"/>
    <w:rsid w:val="0068209B"/>
    <w:rsid w:val="006C5EAF"/>
    <w:rsid w:val="006E0BB9"/>
    <w:rsid w:val="00702D54"/>
    <w:rsid w:val="007B7E83"/>
    <w:rsid w:val="008252F1"/>
    <w:rsid w:val="00866F8F"/>
    <w:rsid w:val="00976D89"/>
    <w:rsid w:val="009D13A6"/>
    <w:rsid w:val="00A11284"/>
    <w:rsid w:val="00B012CB"/>
    <w:rsid w:val="00B417F6"/>
    <w:rsid w:val="00BF7175"/>
    <w:rsid w:val="00C17D2B"/>
    <w:rsid w:val="00CD6167"/>
    <w:rsid w:val="00CE4319"/>
    <w:rsid w:val="00D42523"/>
    <w:rsid w:val="00D46AD5"/>
    <w:rsid w:val="00D8346F"/>
    <w:rsid w:val="00DA0D42"/>
    <w:rsid w:val="00F01ABB"/>
    <w:rsid w:val="00F77EE5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0E25-030E-4E26-B41C-E7B80B0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Normal"/>
    <w:rsid w:val="0003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36ED3"/>
  </w:style>
  <w:style w:type="character" w:customStyle="1" w:styleId="rvts9">
    <w:name w:val="rvts9"/>
    <w:basedOn w:val="DefaultParagraphFont"/>
    <w:rsid w:val="00036ED3"/>
  </w:style>
  <w:style w:type="paragraph" w:styleId="Header">
    <w:name w:val="header"/>
    <w:basedOn w:val="Normal"/>
    <w:link w:val="Head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B"/>
  </w:style>
  <w:style w:type="paragraph" w:styleId="Footer">
    <w:name w:val="footer"/>
    <w:basedOn w:val="Normal"/>
    <w:link w:val="Foot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B"/>
  </w:style>
  <w:style w:type="paragraph" w:styleId="BalloonText">
    <w:name w:val="Balloon Text"/>
    <w:basedOn w:val="Normal"/>
    <w:link w:val="BalloonTextChar"/>
    <w:uiPriority w:val="99"/>
    <w:semiHidden/>
    <w:unhideWhenUsed/>
    <w:rsid w:val="0097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2024-12-12T10:20:00Z</cp:lastPrinted>
  <dcterms:created xsi:type="dcterms:W3CDTF">2025-01-13T10:17:00Z</dcterms:created>
  <dcterms:modified xsi:type="dcterms:W3CDTF">2025-01-13T10:17:00Z</dcterms:modified>
</cp:coreProperties>
</file>